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A" w:rsidRDefault="00DF7E18" w:rsidP="00B36D9A">
      <w:pPr>
        <w:tabs>
          <w:tab w:val="left" w:pos="4140"/>
        </w:tabs>
        <w:spacing w:after="0" w:line="240" w:lineRule="auto"/>
        <w:ind w:left="4139" w:hanging="4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E18">
        <w:rPr>
          <w:rFonts w:ascii="Times New Roman" w:hAnsi="Times New Roman" w:cs="Times New Roman"/>
          <w:b/>
        </w:rPr>
        <w:t xml:space="preserve">Информационное сообщение </w:t>
      </w:r>
    </w:p>
    <w:p w:rsidR="005F69D3" w:rsidRPr="00B36D9A" w:rsidRDefault="003F4D3F" w:rsidP="005F69D3">
      <w:pPr>
        <w:tabs>
          <w:tab w:val="left" w:pos="4140"/>
        </w:tabs>
        <w:spacing w:after="0" w:line="240" w:lineRule="auto"/>
        <w:ind w:left="4139" w:hanging="4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="00B36D9A" w:rsidRPr="00B3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голосования на общем собрании акционеров</w:t>
      </w:r>
    </w:p>
    <w:p w:rsidR="00DF7E18" w:rsidRPr="00DF7E18" w:rsidRDefault="00DF7E18" w:rsidP="00B36D9A">
      <w:pPr>
        <w:spacing w:after="0"/>
        <w:jc w:val="center"/>
        <w:rPr>
          <w:rFonts w:ascii="Times New Roman" w:hAnsi="Times New Roman" w:cs="Times New Roman"/>
          <w:b/>
        </w:rPr>
      </w:pPr>
      <w:r w:rsidRPr="00DF7E18">
        <w:rPr>
          <w:rFonts w:ascii="Times New Roman" w:hAnsi="Times New Roman" w:cs="Times New Roman"/>
          <w:b/>
        </w:rPr>
        <w:t>АКЦИОНЕРНОГО ОБЩЕСТВА «УРАЛТЕХНОСТРОЙ-ТУЙМАЗЫХИММАШ»</w:t>
      </w:r>
    </w:p>
    <w:p w:rsidR="00DF7E18" w:rsidRPr="00DF7E18" w:rsidRDefault="00DF7E18" w:rsidP="00B36D9A">
      <w:pPr>
        <w:spacing w:after="0"/>
        <w:jc w:val="both"/>
        <w:rPr>
          <w:rFonts w:ascii="Times New Roman" w:hAnsi="Times New Roman" w:cs="Times New Roman"/>
        </w:rPr>
      </w:pPr>
    </w:p>
    <w:p w:rsidR="00B36D9A" w:rsidRPr="00B36D9A" w:rsidRDefault="00B36D9A" w:rsidP="00B36D9A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Полное фирменное наименование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общества: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АКЦИОНЕРНОЕ ОБЩЕСТВО "УРАЛТЕХНОСТРОЙ-ТУЙМАЗЫХИММАШ".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нахождения общества: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 Башкортостан, </w:t>
      </w:r>
      <w:smartTag w:uri="urn:schemas-microsoft-com:office:smarttags" w:element="metricconverter">
        <w:smartTagPr>
          <w:attr w:name="ProductID" w:val="452754, г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452754, г</w:t>
        </w:r>
      </w:smartTag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. Туймазы.</w:t>
      </w:r>
    </w:p>
    <w:p w:rsidR="00B36D9A" w:rsidRPr="00B36D9A" w:rsidRDefault="00B36D9A" w:rsidP="00B36D9A">
      <w:pPr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общества: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452754, Республика Башкортостан, г. Туймазы, ул. </w:t>
      </w:r>
      <w:bookmarkStart w:id="0" w:name="_GoBack"/>
      <w:bookmarkEnd w:id="0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Горького, 37.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общего собрания: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Республика Башкортостан,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уймазы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ул.Горького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д.37, зал совещаний 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общего собрания: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Годовое.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общего собрания: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Собрание.</w:t>
      </w:r>
    </w:p>
    <w:p w:rsidR="00B36D9A" w:rsidRPr="00B36D9A" w:rsidRDefault="00B36D9A" w:rsidP="00B36D9A">
      <w:pPr>
        <w:tabs>
          <w:tab w:val="left" w:pos="4536"/>
        </w:tabs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проведения общего собрания: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мая </w:t>
      </w:r>
      <w:smartTag w:uri="urn:schemas-microsoft-com:office:smarttags" w:element="metricconverter">
        <w:smartTagPr>
          <w:attr w:name="ProductID" w:val="2019 г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2019 г</w:t>
        </w:r>
      </w:smartTag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6D9A" w:rsidRPr="00B36D9A" w:rsidRDefault="00B36D9A" w:rsidP="00B36D9A">
      <w:pPr>
        <w:tabs>
          <w:tab w:val="left" w:pos="4140"/>
        </w:tabs>
        <w:spacing w:after="0" w:line="240" w:lineRule="auto"/>
        <w:ind w:left="4139" w:hanging="413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36D9A" w:rsidRPr="00B36D9A" w:rsidRDefault="00B36D9A" w:rsidP="00B36D9A">
      <w:pPr>
        <w:tabs>
          <w:tab w:val="left" w:pos="4140"/>
        </w:tabs>
        <w:spacing w:before="80" w:after="0" w:line="240" w:lineRule="auto"/>
        <w:ind w:left="4139" w:hanging="413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определения (фиксации) лиц, имевших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 на участие в общем собрании: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 апреля </w:t>
      </w:r>
      <w:smartTag w:uri="urn:schemas-microsoft-com:office:smarttags" w:element="metricconverter">
        <w:smartTagPr>
          <w:attr w:name="ProductID" w:val="2019 г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2019 г</w:t>
        </w:r>
      </w:smartTag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6D9A" w:rsidRPr="00B36D9A" w:rsidRDefault="00B36D9A" w:rsidP="00B36D9A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Полное фирменное наименование </w:t>
      </w:r>
    </w:p>
    <w:p w:rsidR="00B36D9A" w:rsidRPr="00B36D9A" w:rsidRDefault="00B36D9A" w:rsidP="00B36D9A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регистратора, выполнявшего функции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счетной комиссии: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Акционерное  общество  "Новый регистратор".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нахождения регистратора: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Федерация, г. Москва.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регистратора: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smartTag w:uri="urn:schemas-microsoft-com:office:smarttags" w:element="metricconverter">
        <w:smartTagPr>
          <w:attr w:name="ProductID" w:val="107996, г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107996, г</w:t>
        </w:r>
      </w:smartTag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Москва, ул.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Буженинова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30, стр. 1 (Башкирский филиал АО "Новый регистратор": 450071, Республика Башкортостан, г. Уфа, ул. Луганская, д. 3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)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Уполномоченные лица регистратора: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Маликов Сергей Евгеньевич,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Валиахметова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Альбина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Талгатовна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общего собрания: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О.Н. Аминов.</w:t>
      </w:r>
    </w:p>
    <w:p w:rsidR="00B36D9A" w:rsidRPr="00B36D9A" w:rsidRDefault="00B36D9A" w:rsidP="00B36D9A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общего собрания: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А.А.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Исламбратова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6D9A" w:rsidRPr="00B36D9A" w:rsidRDefault="00B36D9A" w:rsidP="00B36D9A">
      <w:pPr>
        <w:spacing w:before="24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Утверждение годового отчета, годовой бухгалтерской (финансовой) отчетности Общества за 2018 год.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Распределение прибыли (в том числе, выплата (объявление) дивидендов) и убытков Общества по результатам 2018 года.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Избрание членов Совета директоров Общества.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Избрание членов Ревизионной комиссии Общества.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Утверждение аудитора Общества.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6.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 выплате вознаграждения членам Совета директоров и Ревизионной комиссии Общества по итогам  2018 года.</w:t>
      </w:r>
    </w:p>
    <w:p w:rsidR="00B36D9A" w:rsidRPr="00B36D9A" w:rsidRDefault="00B36D9A" w:rsidP="00B36D9A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      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Последующее одобрение крупных сделок (взаимосвязанных сделок), в совершении которых, в соответствии со ст.81 ФЗ «Об акционерных обществах», имеется заинтересованность – заключение  договоров поручительства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(Поручитель) с  АО «СМП Банк» (Кредитор).</w:t>
      </w:r>
      <w:proofErr w:type="gramEnd"/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1.</w:t>
      </w:r>
    </w:p>
    <w:p w:rsidR="00B36D9A" w:rsidRPr="00B36D9A" w:rsidRDefault="00B36D9A" w:rsidP="00B36D9A">
      <w:pPr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Утверждение годового отчета, годовой бухгалтерской (финансовой) отчетности Общества за 2018 год.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</w:t>
      </w: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1.1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годовой отчет Общества за 2018 год.</w:t>
      </w:r>
    </w:p>
    <w:p w:rsidR="00B36D9A" w:rsidRPr="00B36D9A" w:rsidRDefault="00B36D9A" w:rsidP="00B36D9A">
      <w:pPr>
        <w:keepNext/>
        <w:spacing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Информация о наличии кворума по вопросу повестки дня: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668"/>
        <w:gridCol w:w="1903"/>
      </w:tblGrid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1 729 340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rPr>
                <w:b/>
              </w:rPr>
              <w:t xml:space="preserve">Таким </w:t>
            </w:r>
            <w:proofErr w:type="gramStart"/>
            <w:r w:rsidRPr="00B36D9A">
              <w:rPr>
                <w:b/>
              </w:rPr>
              <w:t>образом</w:t>
            </w:r>
            <w:proofErr w:type="gramEnd"/>
            <w:r w:rsidRPr="00B36D9A">
              <w:rPr>
                <w:b/>
              </w:rPr>
              <w:t xml:space="preserve"> кворум</w:t>
            </w:r>
            <w:r w:rsidRPr="00B36D9A">
              <w:t>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r w:rsidRPr="00B36D9A">
              <w:rPr>
                <w:b/>
                <w:lang w:val="en-US"/>
              </w:rPr>
              <w:t>Имеется</w:t>
            </w:r>
            <w:proofErr w:type="spellEnd"/>
            <w:r w:rsidRPr="00B36D9A">
              <w:rPr>
                <w:b/>
                <w:lang w:val="en-US"/>
              </w:rPr>
              <w:t xml:space="preserve"> (94</w:t>
            </w:r>
            <w:proofErr w:type="gramStart"/>
            <w:r w:rsidRPr="00B36D9A">
              <w:rPr>
                <w:b/>
                <w:lang w:val="en-US"/>
              </w:rPr>
              <w:t>,63</w:t>
            </w:r>
            <w:proofErr w:type="gramEnd"/>
            <w:r w:rsidRPr="00B36D9A">
              <w:rPr>
                <w:b/>
                <w:lang w:val="en-US"/>
              </w:rPr>
              <w:t>%)</w:t>
            </w:r>
          </w:p>
        </w:tc>
      </w:tr>
      <w:tr w:rsidR="00B36D9A" w:rsidRPr="00B36D9A" w:rsidTr="0054096D">
        <w:trPr>
          <w:cantSplit/>
        </w:trPr>
        <w:tc>
          <w:tcPr>
            <w:tcW w:w="5000" w:type="pct"/>
            <w:gridSpan w:val="2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1 729 340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1 729 340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Формулировка решения, принятого общим собранием по вопросу повестки дня №1,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п.п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№1: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годовой отчет Общества за 2018 год.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</w:t>
      </w: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1.2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годовую бухгалтерскую (финансовую) отчетность Общества за 2018 год.</w:t>
      </w:r>
    </w:p>
    <w:p w:rsidR="00B36D9A" w:rsidRPr="00B36D9A" w:rsidRDefault="00B36D9A" w:rsidP="00B36D9A">
      <w:pPr>
        <w:keepNext/>
        <w:spacing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668"/>
        <w:gridCol w:w="1903"/>
      </w:tblGrid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1 729 340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rPr>
                <w:b/>
              </w:rPr>
              <w:t xml:space="preserve">Таким </w:t>
            </w:r>
            <w:proofErr w:type="gramStart"/>
            <w:r w:rsidRPr="00B36D9A">
              <w:rPr>
                <w:b/>
              </w:rPr>
              <w:t>образом</w:t>
            </w:r>
            <w:proofErr w:type="gramEnd"/>
            <w:r w:rsidRPr="00B36D9A">
              <w:rPr>
                <w:b/>
              </w:rPr>
              <w:t xml:space="preserve"> кворум</w:t>
            </w:r>
            <w:r w:rsidRPr="00B36D9A">
              <w:t>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r w:rsidRPr="00B36D9A">
              <w:rPr>
                <w:b/>
                <w:lang w:val="en-US"/>
              </w:rPr>
              <w:t>Имеется</w:t>
            </w:r>
            <w:proofErr w:type="spellEnd"/>
            <w:r w:rsidRPr="00B36D9A">
              <w:rPr>
                <w:b/>
                <w:lang w:val="en-US"/>
              </w:rPr>
              <w:t xml:space="preserve"> (94</w:t>
            </w:r>
            <w:proofErr w:type="gramStart"/>
            <w:r w:rsidRPr="00B36D9A">
              <w:rPr>
                <w:b/>
                <w:lang w:val="en-US"/>
              </w:rPr>
              <w:t>,63</w:t>
            </w:r>
            <w:proofErr w:type="gramEnd"/>
            <w:r w:rsidRPr="00B36D9A">
              <w:rPr>
                <w:b/>
                <w:lang w:val="en-US"/>
              </w:rPr>
              <w:t>%)</w:t>
            </w:r>
          </w:p>
        </w:tc>
      </w:tr>
      <w:tr w:rsidR="00B36D9A" w:rsidRPr="00B36D9A" w:rsidTr="0054096D">
        <w:trPr>
          <w:cantSplit/>
        </w:trPr>
        <w:tc>
          <w:tcPr>
            <w:tcW w:w="5000" w:type="pct"/>
            <w:gridSpan w:val="2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1 729 340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1 729 340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Формулировка решения, принятого общим собранием по вопросу повестки дня №1,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п.п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№2: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годовую бухгалтерскую (финансовую) отчетность Общества за 2018 год.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2.</w:t>
      </w:r>
    </w:p>
    <w:p w:rsidR="00B36D9A" w:rsidRPr="00B36D9A" w:rsidRDefault="00B36D9A" w:rsidP="00B36D9A">
      <w:pPr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Распределение прибыли (в том числе, выплата (объявление) дивидендов) и убытков Общества по результатам 2018 года.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</w:t>
      </w: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2.1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Полученную по итогам 2018 года чистую прибыль Общества в размере 53 799 051 (пятьдесят три миллиона семьсот девяносто девять тысяч 51) рубль 68 копеек оставить в распоряжении Общества.</w:t>
      </w:r>
    </w:p>
    <w:p w:rsidR="00B36D9A" w:rsidRPr="00B36D9A" w:rsidRDefault="00B36D9A" w:rsidP="00B36D9A">
      <w:pPr>
        <w:keepNext/>
        <w:spacing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Информация о наличии кворума по вопросу повестки дня: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668"/>
        <w:gridCol w:w="1903"/>
      </w:tblGrid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1 729 340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rPr>
                <w:b/>
              </w:rPr>
              <w:t xml:space="preserve">Таким </w:t>
            </w:r>
            <w:proofErr w:type="gramStart"/>
            <w:r w:rsidRPr="00B36D9A">
              <w:rPr>
                <w:b/>
              </w:rPr>
              <w:t>образом</w:t>
            </w:r>
            <w:proofErr w:type="gramEnd"/>
            <w:r w:rsidRPr="00B36D9A">
              <w:rPr>
                <w:b/>
              </w:rPr>
              <w:t xml:space="preserve"> кворум</w:t>
            </w:r>
            <w:r w:rsidRPr="00B36D9A">
              <w:t>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r w:rsidRPr="00B36D9A">
              <w:rPr>
                <w:b/>
                <w:lang w:val="en-US"/>
              </w:rPr>
              <w:t>Имеется</w:t>
            </w:r>
            <w:proofErr w:type="spellEnd"/>
            <w:r w:rsidRPr="00B36D9A">
              <w:rPr>
                <w:b/>
                <w:lang w:val="en-US"/>
              </w:rPr>
              <w:t xml:space="preserve"> (94</w:t>
            </w:r>
            <w:proofErr w:type="gramStart"/>
            <w:r w:rsidRPr="00B36D9A">
              <w:rPr>
                <w:b/>
                <w:lang w:val="en-US"/>
              </w:rPr>
              <w:t>,63</w:t>
            </w:r>
            <w:proofErr w:type="gramEnd"/>
            <w:r w:rsidRPr="00B36D9A">
              <w:rPr>
                <w:b/>
                <w:lang w:val="en-US"/>
              </w:rPr>
              <w:t>%)</w:t>
            </w:r>
          </w:p>
        </w:tc>
      </w:tr>
      <w:tr w:rsidR="00B36D9A" w:rsidRPr="00B36D9A" w:rsidTr="0054096D">
        <w:trPr>
          <w:cantSplit/>
        </w:trPr>
        <w:tc>
          <w:tcPr>
            <w:tcW w:w="5000" w:type="pct"/>
            <w:gridSpan w:val="2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1 729 340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1 728 378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662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300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99,94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0,04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0,02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Формулировка решения, принятого общим собранием по вопросу повестки дня №2,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п.п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№1: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Полученную по итогам 2018 года чистую прибыль Общества в размере 53 799 051 (пятьдесят три миллиона семьсот девяносто девять тысяч 51) рубль 68 копеек оставить в распоряжении Общества.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</w:t>
      </w: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2.2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Дивиденды по итогам 2018 года не выплачивать</w:t>
      </w:r>
    </w:p>
    <w:p w:rsidR="00B36D9A" w:rsidRPr="00B36D9A" w:rsidRDefault="00B36D9A" w:rsidP="00B36D9A">
      <w:pPr>
        <w:keepNext/>
        <w:spacing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668"/>
        <w:gridCol w:w="1903"/>
      </w:tblGrid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1 729 340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rPr>
                <w:b/>
              </w:rPr>
              <w:t xml:space="preserve">Таким </w:t>
            </w:r>
            <w:proofErr w:type="gramStart"/>
            <w:r w:rsidRPr="00B36D9A">
              <w:rPr>
                <w:b/>
              </w:rPr>
              <w:t>образом</w:t>
            </w:r>
            <w:proofErr w:type="gramEnd"/>
            <w:r w:rsidRPr="00B36D9A">
              <w:rPr>
                <w:b/>
              </w:rPr>
              <w:t xml:space="preserve"> кворум</w:t>
            </w:r>
            <w:r w:rsidRPr="00B36D9A">
              <w:t>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r w:rsidRPr="00B36D9A">
              <w:rPr>
                <w:b/>
                <w:lang w:val="en-US"/>
              </w:rPr>
              <w:t>Имеется</w:t>
            </w:r>
            <w:proofErr w:type="spellEnd"/>
            <w:r w:rsidRPr="00B36D9A">
              <w:rPr>
                <w:b/>
                <w:lang w:val="en-US"/>
              </w:rPr>
              <w:t xml:space="preserve"> (94</w:t>
            </w:r>
            <w:proofErr w:type="gramStart"/>
            <w:r w:rsidRPr="00B36D9A">
              <w:rPr>
                <w:b/>
                <w:lang w:val="en-US"/>
              </w:rPr>
              <w:t>,63</w:t>
            </w:r>
            <w:proofErr w:type="gramEnd"/>
            <w:r w:rsidRPr="00B36D9A">
              <w:rPr>
                <w:b/>
                <w:lang w:val="en-US"/>
              </w:rPr>
              <w:t>%)</w:t>
            </w:r>
          </w:p>
        </w:tc>
      </w:tr>
      <w:tr w:rsidR="00B36D9A" w:rsidRPr="00B36D9A" w:rsidTr="0054096D">
        <w:trPr>
          <w:cantSplit/>
        </w:trPr>
        <w:tc>
          <w:tcPr>
            <w:tcW w:w="5000" w:type="pct"/>
            <w:gridSpan w:val="2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1 729 340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1 727 993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947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100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300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99,92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0,05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0,01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0,02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Формулировка решения, принятого общим собранием по вопросу повестки дня №2,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п.п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№2: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Дивиденды по итогам 2018 года не выплачивать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3.</w:t>
      </w:r>
    </w:p>
    <w:p w:rsidR="00B36D9A" w:rsidRPr="00B36D9A" w:rsidRDefault="00B36D9A" w:rsidP="00B36D9A">
      <w:pPr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Избрание членов Совета директоров Общества.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Избрать в Совет директоров Общества: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Аминов Антон Олегович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2. Аминов Олег Николаевич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Вагапов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Роберт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Фанилевич</w:t>
      </w:r>
      <w:proofErr w:type="spellEnd"/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Галяветдинова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Гульшат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Ришатовна</w:t>
      </w:r>
      <w:proofErr w:type="spellEnd"/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Набиуллин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Илдар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Рифович</w:t>
      </w:r>
      <w:proofErr w:type="spellEnd"/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Пименов Владимир Иванович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 Романов Юрий Николаевич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Сигаков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Николай Иванович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9. Тарасов Александр Николаевич</w:t>
      </w:r>
    </w:p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B36D9A" w:rsidRPr="00B36D9A" w:rsidRDefault="00B36D9A" w:rsidP="00B36D9A">
      <w:pPr>
        <w:keepNext/>
        <w:spacing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488"/>
        <w:gridCol w:w="2083"/>
      </w:tblGrid>
      <w:tr w:rsidR="00B36D9A" w:rsidRPr="00B36D9A" w:rsidTr="0054096D">
        <w:trPr>
          <w:cantSplit/>
        </w:trPr>
        <w:tc>
          <w:tcPr>
            <w:tcW w:w="3912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(9):</w:t>
            </w:r>
          </w:p>
        </w:tc>
        <w:tc>
          <w:tcPr>
            <w:tcW w:w="1088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16 446 978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3912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(9):</w:t>
            </w:r>
          </w:p>
        </w:tc>
        <w:tc>
          <w:tcPr>
            <w:tcW w:w="1088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16 446 978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3912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(9):</w:t>
            </w:r>
          </w:p>
        </w:tc>
        <w:tc>
          <w:tcPr>
            <w:tcW w:w="1088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15 564 060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3912" w:type="pct"/>
          </w:tcPr>
          <w:p w:rsidR="00B36D9A" w:rsidRPr="00B36D9A" w:rsidRDefault="00B36D9A" w:rsidP="00B36D9A">
            <w:pPr>
              <w:keepNext/>
              <w:spacing w:before="40" w:after="40"/>
              <w:rPr>
                <w:b/>
              </w:rPr>
            </w:pPr>
            <w:r w:rsidRPr="00B36D9A">
              <w:rPr>
                <w:b/>
              </w:rPr>
              <w:t xml:space="preserve">Таким </w:t>
            </w:r>
            <w:proofErr w:type="gramStart"/>
            <w:r w:rsidRPr="00B36D9A">
              <w:rPr>
                <w:b/>
              </w:rPr>
              <w:t>образом</w:t>
            </w:r>
            <w:proofErr w:type="gramEnd"/>
            <w:r w:rsidRPr="00B36D9A">
              <w:rPr>
                <w:b/>
              </w:rPr>
              <w:t xml:space="preserve"> кворум:</w:t>
            </w:r>
          </w:p>
        </w:tc>
        <w:tc>
          <w:tcPr>
            <w:tcW w:w="1088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r w:rsidRPr="00B36D9A">
              <w:rPr>
                <w:b/>
                <w:lang w:val="en-US"/>
              </w:rPr>
              <w:t>Имеется</w:t>
            </w:r>
            <w:proofErr w:type="spellEnd"/>
            <w:r w:rsidRPr="00B36D9A">
              <w:rPr>
                <w:b/>
                <w:lang w:val="en-US"/>
              </w:rPr>
              <w:t xml:space="preserve"> (94</w:t>
            </w:r>
            <w:proofErr w:type="gramStart"/>
            <w:r w:rsidRPr="00B36D9A">
              <w:rPr>
                <w:b/>
                <w:lang w:val="en-US"/>
              </w:rPr>
              <w:t>,63</w:t>
            </w:r>
            <w:proofErr w:type="gramEnd"/>
            <w:r w:rsidRPr="00B36D9A">
              <w:rPr>
                <w:b/>
                <w:lang w:val="en-US"/>
              </w:rPr>
              <w:t>%)</w:t>
            </w:r>
          </w:p>
        </w:tc>
      </w:tr>
      <w:tr w:rsidR="00B36D9A" w:rsidRPr="00B36D9A" w:rsidTr="0054096D">
        <w:trPr>
          <w:cantSplit/>
        </w:trPr>
        <w:tc>
          <w:tcPr>
            <w:tcW w:w="5000" w:type="pct"/>
            <w:gridSpan w:val="2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254"/>
        <w:gridCol w:w="5094"/>
        <w:gridCol w:w="11"/>
        <w:gridCol w:w="2071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pct"/>
            <w:gridSpan w:val="3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голосов, отданное по варианту голосования «За»</w:t>
            </w:r>
          </w:p>
        </w:tc>
        <w:tc>
          <w:tcPr>
            <w:tcW w:w="1088" w:type="pct"/>
            <w:gridSpan w:val="2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15 563 160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пятнадцать миллионов пятьсот шестьдесят три тысячи сто шестьдесят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 списку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082" w:type="pct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голосов 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Аминов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Олег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08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1 729 140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миллион семьсот двадцать девять тысяч сто сорок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Тарасов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Александр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08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1 729 040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миллион семьсот двадцать девять тысяч сорок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Аминов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Антон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Олегович</w:t>
            </w:r>
            <w:proofErr w:type="spellEnd"/>
          </w:p>
        </w:tc>
        <w:tc>
          <w:tcPr>
            <w:tcW w:w="108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1 728 940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миллион семьсот двадцать восемь тысяч девятьсот сорок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Вагапов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Роберт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Фанилевич</w:t>
            </w:r>
            <w:proofErr w:type="spellEnd"/>
          </w:p>
        </w:tc>
        <w:tc>
          <w:tcPr>
            <w:tcW w:w="108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1 728 940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миллион семьсот двадцать восемь тысяч девятьсот сорок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Галяветдинова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Гульшат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Ришатовна</w:t>
            </w:r>
            <w:proofErr w:type="spellEnd"/>
          </w:p>
        </w:tc>
        <w:tc>
          <w:tcPr>
            <w:tcW w:w="108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1 728 940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миллион семьсот двадцать восемь тысяч девятьсот сорок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Набиуллин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Илдар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Рифович</w:t>
            </w:r>
            <w:proofErr w:type="spellEnd"/>
          </w:p>
        </w:tc>
        <w:tc>
          <w:tcPr>
            <w:tcW w:w="108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1 728 940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миллион семьсот двадцать восемь тысяч девятьсот сорок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Пименов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Владимир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Иванович</w:t>
            </w:r>
            <w:proofErr w:type="spellEnd"/>
          </w:p>
        </w:tc>
        <w:tc>
          <w:tcPr>
            <w:tcW w:w="108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1 728 940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миллион семьсот двадцать восемь тысяч девятьсот сорок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Романов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Юрий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08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1 728 940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миллион семьсот двадцать восемь тысяч девятьсот сорок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pct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655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667" w:type="pct"/>
            <w:gridSpan w:val="2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Сигаков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Николай</w:t>
            </w:r>
            <w:proofErr w:type="spell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Иванович</w:t>
            </w:r>
            <w:proofErr w:type="spellEnd"/>
          </w:p>
        </w:tc>
        <w:tc>
          <w:tcPr>
            <w:tcW w:w="108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1 728 940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миллион семьсот двадцать восемь тысяч девятьсот сорок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pct"/>
            <w:gridSpan w:val="3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Против</w:t>
            </w:r>
            <w:proofErr w:type="spellEnd"/>
          </w:p>
        </w:tc>
        <w:tc>
          <w:tcPr>
            <w:tcW w:w="1088" w:type="pct"/>
            <w:gridSpan w:val="2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ноль</w:t>
            </w:r>
            <w:proofErr w:type="spellEnd"/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pct"/>
            <w:gridSpan w:val="3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Воздержался</w:t>
            </w:r>
            <w:proofErr w:type="spellEnd"/>
          </w:p>
        </w:tc>
        <w:tc>
          <w:tcPr>
            <w:tcW w:w="1088" w:type="pct"/>
            <w:gridSpan w:val="2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ноль</w:t>
            </w:r>
            <w:proofErr w:type="spellEnd"/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pct"/>
            <w:gridSpan w:val="3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1088" w:type="pct"/>
            <w:gridSpan w:val="2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900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девятьсот</w:t>
            </w:r>
            <w:proofErr w:type="spellEnd"/>
          </w:p>
        </w:tc>
      </w:tr>
    </w:tbl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принятого общим собранием по вопросу повестки дня: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в Совет директоров Общества: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Аминов Антон Олегович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Аминов Олег Николаевич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Вагапов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Роберт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Фанилевич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Галяветдинова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Гульшат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Ришатовна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Набиуллин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Илдар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Рифович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Пименов Владимир Иванович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Романов Юрий Николаевич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Сигаков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Николай Иванович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Тарасов Александр Николаевич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4.</w:t>
      </w:r>
    </w:p>
    <w:p w:rsidR="00B36D9A" w:rsidRPr="00B36D9A" w:rsidRDefault="00B36D9A" w:rsidP="00B36D9A">
      <w:pPr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4. Избрание членов Ревизионной комиссии Общества.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Избрать в Ревизионную комиссию Общества: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Зарипов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Наиль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Залилович</w:t>
      </w:r>
      <w:proofErr w:type="spellEnd"/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Изибаиров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Игорь Владимирович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Камалова Эвелина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Хамматовна</w:t>
      </w:r>
      <w:proofErr w:type="spellEnd"/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Мигранова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Дина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Миргановна</w:t>
      </w:r>
      <w:proofErr w:type="spellEnd"/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Платонов Андрей Сергеевич</w:t>
      </w:r>
    </w:p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B36D9A" w:rsidRPr="00B36D9A" w:rsidRDefault="00B36D9A" w:rsidP="00B36D9A">
      <w:pPr>
        <w:keepNext/>
        <w:spacing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668"/>
        <w:gridCol w:w="1903"/>
      </w:tblGrid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1 823 878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1 725 776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rPr>
                <w:b/>
              </w:rPr>
              <w:t xml:space="preserve">Таким </w:t>
            </w:r>
            <w:proofErr w:type="gramStart"/>
            <w:r w:rsidRPr="00B36D9A">
              <w:rPr>
                <w:b/>
              </w:rPr>
              <w:t>образом</w:t>
            </w:r>
            <w:proofErr w:type="gramEnd"/>
            <w:r w:rsidRPr="00B36D9A">
              <w:rPr>
                <w:b/>
              </w:rPr>
              <w:t xml:space="preserve"> кворум</w:t>
            </w:r>
            <w:r w:rsidRPr="00B36D9A">
              <w:t>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r w:rsidRPr="00B36D9A">
              <w:rPr>
                <w:b/>
                <w:lang w:val="en-US"/>
              </w:rPr>
              <w:t>Имеется</w:t>
            </w:r>
            <w:proofErr w:type="spellEnd"/>
            <w:r w:rsidRPr="00B36D9A">
              <w:rPr>
                <w:b/>
                <w:lang w:val="en-US"/>
              </w:rPr>
              <w:t xml:space="preserve"> (94</w:t>
            </w:r>
            <w:proofErr w:type="gramStart"/>
            <w:r w:rsidRPr="00B36D9A">
              <w:rPr>
                <w:b/>
                <w:lang w:val="en-US"/>
              </w:rPr>
              <w:t>,62</w:t>
            </w:r>
            <w:proofErr w:type="gramEnd"/>
            <w:r w:rsidRPr="00B36D9A">
              <w:rPr>
                <w:b/>
                <w:lang w:val="en-US"/>
              </w:rPr>
              <w:t>%)</w:t>
            </w:r>
          </w:p>
        </w:tc>
      </w:tr>
      <w:tr w:rsidR="00B36D9A" w:rsidRPr="00B36D9A" w:rsidTr="0054096D">
        <w:trPr>
          <w:cantSplit/>
        </w:trPr>
        <w:tc>
          <w:tcPr>
            <w:tcW w:w="5000" w:type="pct"/>
            <w:gridSpan w:val="2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1.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Зарипов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Наиль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Залилович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1 725 776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1 725 476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300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99,98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0,02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2.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Изибаиров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Игорь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Владимирович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1 725 776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1 725 776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3.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Камалова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Эвелина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Хамматовна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1 725 776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1 725 776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4.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Мигранова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Дина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Миргановна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1 725 776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1 725 776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5.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Платонов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Андрей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Сергеевич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1 725 776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1 725 476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300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99,98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0,02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принятого общим собранием по вопросу повестки дня: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в Ревизионную комиссию Общества: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Зарипов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Наиль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Залилович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Изибаиров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Игорь Владимирович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Камалова Эвелина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Хамматовна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Мигранова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Дина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Миргановна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Платонов Андрей Сергеевич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5.</w:t>
      </w:r>
    </w:p>
    <w:p w:rsidR="00B36D9A" w:rsidRPr="00B36D9A" w:rsidRDefault="00B36D9A" w:rsidP="00B36D9A">
      <w:pPr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Утверждение аудитора Общества.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аудитором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2019 год  ООО «БНМ-Аудит»  ИНН 0278047114,  ОГРН 1030204584376, место расположения: РБ, г. Уфа, ул. 50-летия Октября,20.</w:t>
      </w:r>
    </w:p>
    <w:p w:rsidR="00B36D9A" w:rsidRPr="00B36D9A" w:rsidRDefault="00B36D9A" w:rsidP="00B36D9A">
      <w:pPr>
        <w:keepNext/>
        <w:spacing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668"/>
        <w:gridCol w:w="1903"/>
      </w:tblGrid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1 729 340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rPr>
                <w:b/>
              </w:rPr>
              <w:t xml:space="preserve">Таким </w:t>
            </w:r>
            <w:proofErr w:type="gramStart"/>
            <w:r w:rsidRPr="00B36D9A">
              <w:rPr>
                <w:b/>
              </w:rPr>
              <w:t>образом</w:t>
            </w:r>
            <w:proofErr w:type="gramEnd"/>
            <w:r w:rsidRPr="00B36D9A">
              <w:rPr>
                <w:b/>
              </w:rPr>
              <w:t xml:space="preserve"> кворум</w:t>
            </w:r>
            <w:r w:rsidRPr="00B36D9A">
              <w:t>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r w:rsidRPr="00B36D9A">
              <w:rPr>
                <w:b/>
                <w:lang w:val="en-US"/>
              </w:rPr>
              <w:t>Имеется</w:t>
            </w:r>
            <w:proofErr w:type="spellEnd"/>
            <w:r w:rsidRPr="00B36D9A">
              <w:rPr>
                <w:b/>
                <w:lang w:val="en-US"/>
              </w:rPr>
              <w:t xml:space="preserve"> (94</w:t>
            </w:r>
            <w:proofErr w:type="gramStart"/>
            <w:r w:rsidRPr="00B36D9A">
              <w:rPr>
                <w:b/>
                <w:lang w:val="en-US"/>
              </w:rPr>
              <w:t>,63</w:t>
            </w:r>
            <w:proofErr w:type="gramEnd"/>
            <w:r w:rsidRPr="00B36D9A">
              <w:rPr>
                <w:b/>
                <w:lang w:val="en-US"/>
              </w:rPr>
              <w:t>%)</w:t>
            </w:r>
          </w:p>
        </w:tc>
      </w:tr>
      <w:tr w:rsidR="00B36D9A" w:rsidRPr="00B36D9A" w:rsidTr="0054096D">
        <w:trPr>
          <w:cantSplit/>
        </w:trPr>
        <w:tc>
          <w:tcPr>
            <w:tcW w:w="5000" w:type="pct"/>
            <w:gridSpan w:val="2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1 729 340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1 729 340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принятого общим собранием по вопросу повестки дня: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аудитором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2019 год  ООО «БНМ-Аудит»  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0278047114,  ОГРН 1030204584376, место расположения: РБ, г. Уфа, ул. 50-летия Октября,20.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6.</w:t>
      </w:r>
    </w:p>
    <w:p w:rsidR="00B36D9A" w:rsidRPr="00B36D9A" w:rsidRDefault="00B36D9A" w:rsidP="00B36D9A">
      <w:pPr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6. О выплате вознаграждения членам Совета директоров и Ревизионной комиссии Общества по итогам  2018 года.</w:t>
      </w:r>
    </w:p>
    <w:p w:rsidR="00B36D9A" w:rsidRPr="00B36D9A" w:rsidRDefault="00B36D9A" w:rsidP="00B36D9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Выплатить вознаграждение по итогам  2018 года членам Совета директоров общества в общей сумме 210 000 рублей, членам Ревизионной комиссии общества в общей сумме 100 000  рублей.</w:t>
      </w:r>
    </w:p>
    <w:p w:rsidR="00B36D9A" w:rsidRPr="00B36D9A" w:rsidRDefault="00B36D9A" w:rsidP="00B36D9A">
      <w:pPr>
        <w:keepNext/>
        <w:spacing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668"/>
        <w:gridCol w:w="1903"/>
      </w:tblGrid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1 827 442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  <w:jc w:val="both"/>
            </w:pPr>
            <w:r w:rsidRPr="00B36D9A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rPr>
                <w:lang w:val="en-US"/>
              </w:rPr>
              <w:t>1 729 340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  <w:tr w:rsidR="00B36D9A" w:rsidRPr="00B36D9A" w:rsidTr="0054096D">
        <w:trPr>
          <w:cantSplit/>
        </w:trPr>
        <w:tc>
          <w:tcPr>
            <w:tcW w:w="4006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rPr>
                <w:b/>
              </w:rPr>
              <w:t xml:space="preserve">Таким </w:t>
            </w:r>
            <w:proofErr w:type="gramStart"/>
            <w:r w:rsidRPr="00B36D9A">
              <w:rPr>
                <w:b/>
              </w:rPr>
              <w:t>образом</w:t>
            </w:r>
            <w:proofErr w:type="gramEnd"/>
            <w:r w:rsidRPr="00B36D9A">
              <w:rPr>
                <w:b/>
              </w:rPr>
              <w:t xml:space="preserve"> кворум</w:t>
            </w:r>
            <w:r w:rsidRPr="00B36D9A">
              <w:t>:</w:t>
            </w:r>
          </w:p>
        </w:tc>
        <w:tc>
          <w:tcPr>
            <w:tcW w:w="994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r w:rsidRPr="00B36D9A">
              <w:rPr>
                <w:b/>
                <w:lang w:val="en-US"/>
              </w:rPr>
              <w:t>Имеется</w:t>
            </w:r>
            <w:proofErr w:type="spellEnd"/>
            <w:r w:rsidRPr="00B36D9A">
              <w:rPr>
                <w:b/>
                <w:lang w:val="en-US"/>
              </w:rPr>
              <w:t xml:space="preserve"> (94</w:t>
            </w:r>
            <w:proofErr w:type="gramStart"/>
            <w:r w:rsidRPr="00B36D9A">
              <w:rPr>
                <w:b/>
                <w:lang w:val="en-US"/>
              </w:rPr>
              <w:t>,63</w:t>
            </w:r>
            <w:proofErr w:type="gramEnd"/>
            <w:r w:rsidRPr="00B36D9A">
              <w:rPr>
                <w:b/>
                <w:lang w:val="en-US"/>
              </w:rPr>
              <w:t>%)</w:t>
            </w:r>
          </w:p>
        </w:tc>
      </w:tr>
      <w:tr w:rsidR="00B36D9A" w:rsidRPr="00B36D9A" w:rsidTr="0054096D">
        <w:trPr>
          <w:cantSplit/>
        </w:trPr>
        <w:tc>
          <w:tcPr>
            <w:tcW w:w="5000" w:type="pct"/>
            <w:gridSpan w:val="2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1 729 340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1 727 241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1 999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100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99,88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0,12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0,01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принятого общим собранием по вопросу повестки дня: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Выплатить вознаграждение по итогам  2018 года членам Совета директоров общества в общей сумме 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210 000 рублей, членам Ревизионной комиссии общества в общей сумме 100 000  рублей.</w:t>
      </w: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9A" w:rsidRPr="00B36D9A" w:rsidRDefault="00B36D9A" w:rsidP="00B36D9A">
      <w:pPr>
        <w:tabs>
          <w:tab w:val="left" w:pos="540"/>
        </w:tabs>
        <w:spacing w:before="80" w:after="0" w:line="240" w:lineRule="auto"/>
        <w:ind w:left="539" w:hanging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7.</w:t>
      </w:r>
    </w:p>
    <w:p w:rsidR="00B36D9A" w:rsidRPr="00B36D9A" w:rsidRDefault="00B36D9A" w:rsidP="00B36D9A">
      <w:pPr>
        <w:tabs>
          <w:tab w:val="left" w:pos="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Последующее одобрение крупных сделок (взаимосвязанных сделок), в совершении которых, в соответствии со ст.81 ФЗ «Об акционерных обществах», имеется заинтересованность – заключение  договоров поручительства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(Поручитель) с  АО «СМП Банк» (Кредитор).</w:t>
      </w:r>
      <w:proofErr w:type="gramEnd"/>
    </w:p>
    <w:p w:rsidR="00B36D9A" w:rsidRPr="00B36D9A" w:rsidRDefault="00B36D9A" w:rsidP="00B36D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</w:t>
      </w: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7.1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крупную сделку (по признаку взаимосвязанности сделок, согласно ст.78 ФЗ «Об акционерных обществах») в совершении которой, в соответствии со ст.81 ФЗ «Об акционерных обществах», имеется заинтересованность - Договор поручительства № 13ф-03-2019/КЛ/ДП-01, заключенный 14.03.2019 г. между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(Поручитель) с  АО «СМП Банк» (Кредитор) в целях обеспечения исполнения обязательств 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(Заемщик) перед Банком АО «СМП Банк» по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 об открытии кредитной линии с лимитом единовременной задолженности № 13ф-03-2019/КЛ  (далее – Договор об открытии кредитной линии), заключенному «14» марта 2019 года между Кредитором и Должником в городе Уфе и подтвердить полномочия  генерального директора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Романова Ю.Н.  подписавшего под отлагательным условием с Банком АО «СМП Банк» договор поручительства и иные, связанные с ним документы.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Существенные условия сделки: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Объем поручительства - Поручитель обязуется отвечать в полном объеме перед Кредитором за исполнение обязательств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ОГРН 1020202767420 по Договору об открытии кредитной линии с лимитом единовременной задолженности № 13ф-03-2019/КЛ), заключенному «14» марта 2019 года между Кредитором и Должником в городе Уфе.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Поручительство обеспечивает исполнение Должником обязательств, существо, размер и срок исполнения которых предусмотрены Договором об открытии кредитной линии, – в том объеме, в каком требования Кредитора к Должнику по Договору об открытии кредитной линии  будут существовать к моменту их удовлетворения, включая возмещение судебных издержек по взысканию долга и других убытков Кредитора, вызванных неисполнением или ненадлежащим исполнением Должником обязательств по Договору об открытии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линии.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устанавливают, что любые изменения условий Договора об открытии кредитной линии, совершенные Кредитором и Должником и/или Кредитором в одностороннем порядке, когда такое право Кредитора прямо предусмотрено Договором об открытии кредитной линии, означают изменение объема требований, обеспечиваемых поручительством, на что Поручитель дает свое предварительное согласие в момент заключения настоящего Договора, при условии, что такие изменения в любом случае не будут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превышать утроенную сумму лимита единовременной задолженности в соответствии с условиями Договора об открытии кредитной линии.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Срок поручительства - Поручительство прекращается, если Кредитор в течение года со дня, до которого Должник обязан исполнить все свои обязательства по Договору об открытии кредитной линии  в полном объеме, не предъявит к Поручителю Требование Кредитора.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 признания Договора об открытии кредитной линии недействительной / незаключенной сделкой поручительство, предусмотренное пунктом 3.10 настоящего Договора, прекращается, если Кредитор в течение года со дня признания Договора об открытии кредитной линии недействительным / незаключенным не предъявит к Поручителю требование на основании пункта 3.10 настоящего Договора.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Существенные условия Договора об открытии кредитной линии с лимитом единовременной задолженности № 13ф-03-2019/КЛ от «14» марта 2019 года: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Кредитор - Акционерное общество Банк «Северный морской путь» (АО «СМП Банк»)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Заемщик - Общество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 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Лимит задолженности  - 700 000 000 руб.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Транши в рамках настоящей кредитной линии предоставляются на срок не более 365 (Триста шестьдесят пять) календарных дней, исчисляемый со дня, следующего за днем выдачи соответствующего транша.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указанный срок не может превышать срок окончательного погашения (возврата) Кредита, установленный пунктом 1.6 Договора.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Процентная ставка (плата за пользование Кредитом)  -  9,3% (Девять целых три десятых процентов) годовых.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предоставления Кредита Заемщику – до «14» января 2021 года включительно.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Окончательный срок (дата) возврата Кредита «14» марта 2021 года.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Цели использования Кредит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затрат, связанных с финансированием Контрактов  в размере не более 80% остатка невыплаченных платежей по данным Контрактам.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Совокупная ссудная задолженность Заемщика перед Кредитором по настоящему Договору и действующему  Кредитному договору  № 13ф-09-2017/КЛ от «20» ноября 2017 года не превышает сумму в размере 700 000 000,00 (Семьсот миллионов 00/100) рублей;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Совокупная ссудная задолженность Заемщика,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«Торговый дом УТС-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– «Группа компаний») перед Кредитором по настоящему Договору и заключенным Кредитным договорам, а также сумма выданных Группе компаний гарантий, не превышает сумму в размере 1 550 000 000,00 (Один миллиард пятьсот пятьдесят миллионов 00/100) рублей;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Совокупная ссудная задолженность Группы компаний перед Кредитором (т.е. задолженность по кредитам, отраженная на соответствующих ссудных счетах)   по действующим Кредитным договорам, направленная на финансирование по  контрактам, заключенным  с Группой Компаний Роснефть, Группой Компаний 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Новатэк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, Группой Компаний Газпром (в том числе АО АЧИМГАЗ), по которым получен отказ на залог имущественных прав (требований) по финансируемым Контрактам,  а также в случае финансирования Контрактов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заключенных между  Заемщиком и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за исключением случаев предоставления согласия на передачу в залог Кредитору имущественных прав (требований) с конечными заказчиками, не должна превышать сумму в размере  500 000 000,00 (Пятьсот миллионов 00/100)  рублей;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Сумма траншей, предоставленных на оплату затрат, связанных с финансированием Контрактов не должна превышать 80% (Восемьдесят процентов) остатка невыплаченных платежей по данным Контрактам;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Обеспечение по  Договору: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последующая ипотека (последующий  залог), по Договору последующей ипотеки № 13ф-03-2019/КЛ/ДИ-01, заключенному между Кредитором и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– Залогодатель), предметом залога по которому является нежилые здания и помещения общей площадью </w:t>
      </w:r>
      <w:smartTag w:uri="urn:schemas-microsoft-com:office:smarttags" w:element="metricconverter">
        <w:smartTagPr>
          <w:attr w:name="ProductID" w:val="11 845,6 м2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11 845,6 м</w:t>
        </w:r>
        <w:proofErr w:type="gramStart"/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smartTag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кадастровыми номерами 02:55:030303:192, 02:55:030303:191,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02:55:030303:200,  и земельные участки общей площадью </w:t>
      </w:r>
      <w:smartTag w:uri="urn:schemas-microsoft-com:office:smarttags" w:element="metricconverter">
        <w:smartTagPr>
          <w:attr w:name="ProductID" w:val="27 255,0 м2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27 255,0 м</w:t>
        </w:r>
        <w:proofErr w:type="gramStart"/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smartTag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кадастровыми номерами 02:55:030303:757,  02:55:030303:755, 02:55:030303:756, 02:55:030303:754, расположенные по адресу: Республика Башкортостан, г. Уфа, Орджоникидзевский район, ул. Свободы, д.61;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залог, согласно Договор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spellStart"/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 о залоге имущественных прав (требований), заключаемый(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между Кредитором и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 (далее – Залогодатель), предметом залога по которому(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  является(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имущественных(е) прав(а) по финансируемым Контрактам (за исключением случаев, когда Заемщиком предоставлен письменный отказ Группы Компаний Роснефть, Группы Компаний 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Новатэк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ГруппыКомпаний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Газпром (в том числе АО АЧИМГАЗ) на передачу в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 Кредитору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имущественные права (требования) по  финансируемым Контрактам/спецификациям  к финансируемым Контрактам. При этом срок финансируемых Контрактов/ спецификаций  к финансируемым Контрактам не может превышать 12 месяцев);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поручительство юридического лица по Договору поручительства  № 13ф-03-2019/КЛ/ДП-01 от «14» марта 2019 года (по тексту – Договор поручительства 1) заключенному между Кредитором и Акционерным обществом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(по тексту Договора – Поручитель 1);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поручительство физического лица по Договору поручительства  № 13ф-03-2019/КЛ/ДП-02 от «14» марта 2019 года (по тексту – Договор поручительства 3) заключенному между Кредитором и Аминовым Олегом Николаевичем (по тексту Договора – Поручитель 2).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действия договора - с момента его подписания уполномоченными представителями Сторон  до полного исполнения Сторонами своих обязательств по нему.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Основания заинтересованности в соответствии со ст.81 Федерального закона «Об Акционерных обществах»: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Олег Николаевич – Председатель Совета директоров и контролирующее лицо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Президент и контролирующее лиц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ООО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Антон Олегович – член   Совета    директоров, сын контролирующего лица Общества Аминова О.Н.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- контролирующее лицо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выгодоприобретатель по сделке.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36D9A" w:rsidRPr="00B36D9A" w:rsidRDefault="00B36D9A" w:rsidP="00B36D9A">
      <w:pPr>
        <w:keepNext/>
        <w:spacing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дня****: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488"/>
        <w:gridCol w:w="2083"/>
      </w:tblGrid>
      <w:tr w:rsidR="00B36D9A" w:rsidRPr="00B36D9A" w:rsidTr="0054096D">
        <w:trPr>
          <w:cantSplit/>
        </w:trPr>
        <w:tc>
          <w:tcPr>
            <w:tcW w:w="3912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1088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t xml:space="preserve"> </w:t>
            </w:r>
            <w:r w:rsidRPr="00B36D9A">
              <w:rPr>
                <w:lang w:val="en-US"/>
              </w:rPr>
              <w:t>142 311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083"/>
      </w:tblGrid>
      <w:tr w:rsidR="00B36D9A" w:rsidRPr="00B36D9A" w:rsidTr="0054096D">
        <w:trPr>
          <w:cantSplit/>
        </w:trPr>
        <w:tc>
          <w:tcPr>
            <w:tcW w:w="3912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Таким 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образом</w:t>
            </w:r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кворум:</w:t>
            </w:r>
          </w:p>
        </w:tc>
        <w:tc>
          <w:tcPr>
            <w:tcW w:w="108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Имеется</w:t>
            </w:r>
            <w:proofErr w:type="spellEnd"/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9571"/>
      </w:tblGrid>
      <w:tr w:rsidR="00B36D9A" w:rsidRPr="00B36D9A" w:rsidTr="0054096D">
        <w:trPr>
          <w:cantSplit/>
        </w:trPr>
        <w:tc>
          <w:tcPr>
            <w:tcW w:w="5000" w:type="pct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142 311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141 549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662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100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99,46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0,47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0,07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**** </w:t>
      </w:r>
      <w:r w:rsidRPr="00B36D9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соответствии с п.4  ст.83 Федерального закона "Об акционерных обществах" от 26.12.1995 N 208-ФЗ о</w:t>
      </w:r>
      <w:r w:rsidRPr="00B36D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бщее собрание акционеров при принятии решения по данному вопросу считается правомочным независимо от числа не заинтересованных в совершении соответствующей сделки акционеров - владельцев голосующих акций общества, принимающих в нем участие.</w:t>
      </w: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Формулировка решения, принятого общим собранием по вопросу повестки дня №7,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п.п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№1:</w:t>
      </w:r>
    </w:p>
    <w:p w:rsidR="00B36D9A" w:rsidRPr="00B36D9A" w:rsidRDefault="00B36D9A" w:rsidP="00B36D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крупную сделку (по признаку взаимосвязанности сделок, согласно ст.78 ФЗ «Об акционерных обществах») в совершении которой, в соответствии со ст.81 ФЗ «Об акционерных обществах», имеется заинтересованность - Договор поручительства № 13ф-03-2019/КЛ/ДП-01, заключенный 14.03.2019 г. между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(Поручитель) с  АО «СМП Банк» (Кредитор) в целях обеспечения исполнения обязательств 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(Заемщик) перед Банком АО «СМП Банк» по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 об открытии кредитной линии с лимитом единовременной задолженности № 13ф-03-2019/КЛ  (далее – Договор об открытии кредитной линии), заключенному «14» марта 2019 года между Кредитором и Должником в городе Уфе и подтвердить полномочия  генерального директора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Романова Ю.Н.  подписавшего под отлагательным условием с Банком АО «СМП Банк» договор поручительства и иные, связанные с ним документы.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Существенные условия сделки: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поручительства - Поручитель обязуется отвечать в полном объеме перед Кредитором за исполнение обязательств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ОГРН 1020202767420 по Договору об открытии кредитной линии с лимитом единовременной задолженности № 13ф-03-2019/КЛ), заключенному «14» марта 2019 года между Кредитором и Должником в городе Уфе.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Поручительство обеспечивает исполнение Должником обязательств, существо, размер и срок исполнения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которых предусмотрены Договором об открытии кредитной линии, – в том объеме, в каком требования Кредитора к Должнику по Договору об открытии кредитной линии  будут существовать к моменту их удовлетворения, включая возмещение судебных издержек по взысканию долга и других убытков Кредитора, вызванных неисполнением или ненадлежащим исполнением Должником обязательств по Договору об открытии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линии.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устанавливают, что любые изменения условий Договора об открытии кредитной линии, совершенные Кредитором и Должником и/или Кредитором в одностороннем порядке, когда такое право Кредитора прямо предусмотрено Договором об открытии кредитной линии, означают изменение объема требований, обеспечиваемых поручительством, на что Поручитель дает свое предварительное согласие в момент заключения настоящего Договора, при условии, что такие изменения в любом случае не будут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превышать утроенную сумму лимита единовременной задолженности в соответствии с условиями Договора об открытии кредитной линии.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Срок поручительства - Поручительство прекращается, если Кредитор в течение года со дня, до которого Должник обязан исполнить все свои обязательства по Договору об открытии кредитной линии  в полном объеме, не предъявит к Поручителю Требование Кредитора.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 признания Договора об открытии кредитной линии недействительной / незаключенной сделкой поручительство, предусмотренное пунктом 3.10 настоящего Договора, прекращается, если Кредитор в течение года со дня признания Договора об открытии кредитной линии недействительным / незаключенным не предъявит к Поручителю требование на основании пункта 3.10 настоящего Договора.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Существенные условия Договора об открытии кредитной линии с лимитом единовременной задолженности № 13ф-03-2019/КЛ от «14» марта 2019 года: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Кредитор - Акционерное общество Банк «Северный морской путь» (АО «СМП Банк»)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Заемщик - Общество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 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Лимит задолженности  - 700 000 000 руб.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Транши в рамках настоящей кредитной линии предоставляются на срок не более 365 (Триста шестьдесят пять) календарных дней, исчисляемый со дня, следующего за днем выдачи соответствующего транша.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указанный срок не может превышать срок окончательного погашения (возврата) Кредита, установленный пунктом 1.6 Договора.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Процентная ставка (плата за пользование Кредитом)  -  9,3% (Девять целых три десятых процентов) годовых.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предоставления Кредита Заемщику – до «14» января 2021 года включительно.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Окончательный срок (дата) возврата Кредита «14» марта 2021 года.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Цели использования Кредит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затрат, связанных с финансированием Контрактов  в размере не более 80% остатка невыплаченных платежей по данным Контрактам.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Совокупная ссудная задолженность Заемщика перед Кредитором по настоящему Договору и действующему  Кредитному договору  № 13ф-09-2017/КЛ от «20» ноября 2017 года не превышает сумму в размере 700 000 000,00 (Семьсот миллионов 00/100) рублей;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Совокупная ссудная задолженность Заемщика,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«Торговый дом УТС-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– «Группа компаний») перед Кредитором по настоящему Договору и заключенным Кредитным договорам, а также сумма выданных Группе компаний гарантий, не превышает сумму в размере 1 550 000 000,00 (Один миллиард пятьсот пятьдесят миллионов 00/100) рублей;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Совокупная ссудная задолженность Группы компаний перед Кредитором (т.е. задолженность по кредитам, отраженная на соответствующих ссудных счетах)   по действующим Кредитным договорам, направленная на финансирование по  контрактам, заключенным  с Группой Компаний Роснефть, Группой Компаний 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Новатэк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, Группой Компаний Газпром (в том числе АО АЧИМГАЗ), по которым получен отказ на залог имущественных прав (требований) по финансируемым Контрактам,  а также в случае финансирования Контрактов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заключенных между  Заемщиком и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за исключением случаев предоставления согласия на передачу в залог Кредитору имущественных прав (требований) с конечными заказчиками, не должна превышать сумму в размере  500 000 000,00 (Пятьсот миллионов 00/100)  рублей;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Сумма траншей, предоставленных на оплату затрат, связанных с финансированием Контрактов не должна превышать 80% (Восемьдесят процентов) остатка невыплаченных платежей по данным Контрактам;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Обеспечение по  Договору: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последующая ипотека (последующий  залог), по Договору последующей ипотеки № 13ф-03-2019/КЛ/ДИ-01, заключенному между Кредитором и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– Залогодатель), предметом залога по которому является нежилые здания и помещения общей площадью </w:t>
      </w:r>
      <w:smartTag w:uri="urn:schemas-microsoft-com:office:smarttags" w:element="metricconverter">
        <w:smartTagPr>
          <w:attr w:name="ProductID" w:val="11 845,6 м2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11 845,6 м</w:t>
        </w:r>
        <w:proofErr w:type="gramStart"/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smartTag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кадастровыми номерами 02:55:030303:192, 02:55:030303:191, 02:55:030303:200,  и земельные участки общей площадью </w:t>
      </w:r>
      <w:smartTag w:uri="urn:schemas-microsoft-com:office:smarttags" w:element="metricconverter">
        <w:smartTagPr>
          <w:attr w:name="ProductID" w:val="27 255,0 м2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27 255,0 м</w:t>
        </w:r>
        <w:proofErr w:type="gramStart"/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smartTag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кадастровыми номерами 02:55:030303:757,  02:55:030303:755, 02:55:030303:756, 02:55:030303:754, расположенные по адресу: Республика Башкортостан, г. Уфа, Орджоникидзевский район, ул. Свободы, д.61;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залог, согласно Договор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spellStart"/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 о залоге имущественных прав (требований), заключаемый(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между Кредитором и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(далее –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Залогодатель), предметом залога по которому(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  является(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имущественных(е) прав(а) по финансируемым Контрактам (за исключением случаев, когда Заемщиком предоставлен письменный отказ Группы Компаний Роснефть, Группы Компаний 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Новатэк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ГруппыКомпаний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Газпром (в том числе АО АЧИМГАЗ) на передачу в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 Кредитору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имущественные права (требования) по  финансируемым Контрактам/спецификациям  к финансируемым Контрактам. При этом срок финансируемых Контрактов/ спецификаций  к финансируемым Контрактам не может превышать 12 месяцев);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поручительство юридического лица по Договору поручительства  № 13ф-03-2019/КЛ/ДП-01 от «14» марта 2019 года (по тексту – Договор поручительства 1) заключенному между Кредитором и Акционерным обществом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(по тексту Договора – Поручитель 1);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поручительство физического лица по Договору поручительства  № 13ф-03-2019/КЛ/ДП-02 от «14» марта 2019 года (по тексту – Договор поручительства 3) заключенному между Кредитором и Аминовым Олегом Николаевичем (по тексту Договора – Поручитель 2).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действия договора - с момента его подписания уполномоченными представителями Сторон  до полного исполнения Сторонами своих обязательств по нему.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Основания заинтересованности в соответствии со ст.81 Федерального закона «Об Акционерных обществах»: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Олег Николаевич – Председатель Совета директоров и контролирующее лицо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Президент и контролирующее лиц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ООО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Антон Олегович – член   Совета    директоров, сын контролирующего лица Общества Аминова О.Н.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- контролирующее лицо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выгодоприобретатель по сделке.</w:t>
      </w:r>
    </w:p>
    <w:p w:rsidR="00B36D9A" w:rsidRPr="00B36D9A" w:rsidRDefault="00B36D9A" w:rsidP="00B36D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</w:t>
      </w: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7.2</w:t>
      </w: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крупную сделку (по признаку взаимосвязанности сделок, согласно ст.78 ФЗ «Об акционерных обществах») в совершении которой, в соответствии со ст.81 ФЗ «Об акционерных обществах», имеется заинтересованность - Договор поручительства № 13ф-01-2019/БГ/ДП-01, заключенный 14.03.2019 г. между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(Поручитель) с  АО «СМП Банк» (Кредитор) в целях обеспечения исполнения обязательств 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(Заемщик) перед Банком АО «СМП Банк» по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Генеральному договору о выдаче банковских гарантий № 13ф-01-2019/БГ (далее – Генеральный договор о выдаче гарантий), заключенному «14» марта 2019 года между Кредитором и Должником в городе Уфа и подтвердить полномочия  генерального директора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Романова Ю.Н.  подписавшего под отлагательным условием с Банком АО «СМП Банк» договор поручительства и иные, связанные с ним документы..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Существенные условия сделки: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Объем поручительств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Поручитель обязуется отвечать в полном объеме перед Гарантом за исполнение обязательств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ОГРН 1020202767420  (далее – Должник) по Генеральному договору о выдаче банковских гарантий № 13ф-01-2019/БГ  (далее – Генеральный договор о выдаче гарантий), заключенному «14» марта 2019 года между Кредитором и Должником в городе Уфа.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Поручительство обеспечивает исполнение Должником обязательств, существо, размер и срок исполнения которых предусмотрены Генеральным договором о выдаче гарантий, – в том объеме, в каком требования Кредитора к Должнику по Генеральному договору о выдаче гарантий будут существовать к моменту их удовлетворения, включая возмещение судебных издержек по взысканию долга и других убытков Кредитора, вызванных неисполнением или ненадлежащим исполнением Должником обязательств по Генеральному договору 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выдаче гарантий.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устанавливают, что любые изменения условий Генерального договора о выдаче гарантий, совершенные Кредитором и Должником и/или Кредитором в одностороннем порядке, когда такое право Кредитора прямо предусмотрено Генеральным договором о выдаче гарантий, означают изменение объема требований, обеспечиваемых поручительством, на что Поручитель дает свое предварительное согласие в момент заключения настоящего Договора, при условии, что такие изменения в любом случае не будут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превышать утроенную сумму лимита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Генеральному договору о выдаче гарантий в соответствии с условиями Генерального договора о выдаче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гарантий.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Срок поручительства - Поручительство прекращается, если Кредитор в течение года со дня, до которого Должник обязан исполнить все свои обязательства по Генеральному договору о выдаче гарантий в полном объеме, не предъявит к Поручителю Требование Кредитора.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 признания Генерального договора о выдаче гарантий  недействительной / незаключенной сделкой,  поручительство, предусмотренное пунктом 3.10 настоящего Договора, прекращается, если Кредитор в течение года со дня признания Генерального договора о выдаче гарантий недействительным / незаключенным не предъявит к Поручителю требование на основании пункта 3.10 настоящего Договора.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Существенные условия Генерального договора о выдаче банковских гарантий № 13ф-01-2019/БГ от 14 марта 2019 года: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 - Акционерное общество Банк «Северный морской путь» (АО «СМП Банк»)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Принципал - Общество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 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Бенефициар - заказчики, определенные в соответствии с Договором/Контрактом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Сумма всех одновременно действующих Гарантий, выданных в соответствии с Договором,  не должна превышать в совокупности сумму в размере 350 000 000,00 (Триста пятьдесят миллионов 00/100) рублей (далее – «Лимит»).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Обязательство Принципала, обеспечиваемое Гарантией: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исполнение Принципалом его обязательств перед Бенефициаром по договору/ контракту (далее – Договор/ Контракт), включая обязательств по возврату аванс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иных конкретных обязательств Принципала по Договору/ Контракту, за исключением обязательств по гарантийному обслуживанию Договора/ Контракта;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исполнение Принципалом его обязательств перед Бенефициаром по договору/ контракту (далее – Договор/ Контракт), включая обязательств по гарантийному обслуживанию Договора/ Контракта и иных конкретных обязательств Принципала по Договору/ Контракту, за исключением обязательств по возврату аванс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исполнение Принципалом его обязательств перед Бенефициаром по договору/ контракту (далее – Договор/ Контракт), включая конкретных обязательств по Договору/ Контракту,  за исключением обязательств по возврату аванс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по гарантийному обслуживанию Договора/ Контракта.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действия Гарантии указывается Принципалом в Заявлении, но не может быть более 12 (Двенадцати) месяцев.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Вознаграждение за выдачу каждой Гарантии (далее – «вознаграждение») в размере 2,0 % (Два процента) годовых от суммы соответствующей Гарантии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Сумма всех одновременно действующих Гарантий, выданных в соответствии с Договором,  не превышает в совокупности сумму в размере 350 000 000,00 (Триста пятьдесят миллионов 00/100) рублей.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Совокупная ссудная задолженность Принципала,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«Торговый дом УТ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– «Группа компаний») перед Гарантом по настоящему Договору и Кредитным договорам, а также сумма выданных Гарантом гарантий Группе компаний, не превышает в совокупности сумму в размере 1 550 000 000,00 (Один миллиард пятьсот пятьдесят миллионов 00/100) рублей.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Обеспечение по договору: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поручительство согласно Договору поручительства от «14» марта 2019 года № 13ф-01-2019/БГ/ДП-1, заключенному между Гарантом и Акционерным обществом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поручительство согласно Договору поручительства от «14» марта 2019 года № 13ф-01-2019/БГ/ДП -2, заключенному между Гарантом и Аминовым Олегом Николаевичем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оследующая ипотека (последующий  залог), по Договору последующей ипотеки от «14» марта 2019 года № 13ф-01-2019/БГ/ДИ-01, заключенному между Гарантом и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– Залогодатель), предметом залога по которому является нежилые здания и помещения общей площадью </w:t>
      </w:r>
      <w:smartTag w:uri="urn:schemas-microsoft-com:office:smarttags" w:element="metricconverter">
        <w:smartTagPr>
          <w:attr w:name="ProductID" w:val="11 845,6 м2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11 845,6 м</w:t>
        </w:r>
        <w:proofErr w:type="gramStart"/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smartTag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кадастровыми номерами 02:55:030303:192, 02:55:030303:191, 02:55:030303:200,  и земельные участки общей площадью </w:t>
      </w:r>
      <w:smartTag w:uri="urn:schemas-microsoft-com:office:smarttags" w:element="metricconverter">
        <w:smartTagPr>
          <w:attr w:name="ProductID" w:val="27 255,0 м2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27 255,0 м2</w:t>
        </w:r>
      </w:smartTag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кадастровыми номерами 02:55:030303:757,  02:55:030303:755, 02:55:030303:756, 02:55:030303:754, расположенные по адресу: Республика Башкортостан, г. Уфа, Орджоникидзевский район, ул. Свободы, д.61.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действия договора-  с момента его подписания  до полного исполнения сторонами своих обязательств.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Основания заинтересованности в соответствии со ст.81 Федерального закона «Об Акционерных обществах»: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Олег Николаевич – Председатель Совета директоров и контролирующее лицо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Президент и контролирующее лиц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ООО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Антон Олегович – член   Совета    директоров, сын контролирующего лица Общества Аминова О.Н.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- контролирующее лицо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выгодоприобретатель по сделке.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36D9A" w:rsidRPr="00B36D9A" w:rsidRDefault="00B36D9A" w:rsidP="00B36D9A">
      <w:pPr>
        <w:keepNext/>
        <w:spacing w:after="60" w:line="24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дня****:</w:t>
      </w: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7488"/>
        <w:gridCol w:w="2083"/>
      </w:tblGrid>
      <w:tr w:rsidR="00B36D9A" w:rsidRPr="00B36D9A" w:rsidTr="0054096D">
        <w:trPr>
          <w:cantSplit/>
        </w:trPr>
        <w:tc>
          <w:tcPr>
            <w:tcW w:w="3912" w:type="pct"/>
          </w:tcPr>
          <w:p w:rsidR="00B36D9A" w:rsidRPr="00B36D9A" w:rsidRDefault="00B36D9A" w:rsidP="00B36D9A">
            <w:pPr>
              <w:keepNext/>
              <w:spacing w:before="40" w:after="40"/>
            </w:pPr>
            <w:r w:rsidRPr="00B36D9A"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1088" w:type="pct"/>
            <w:vAlign w:val="center"/>
          </w:tcPr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  <w:r w:rsidRPr="00B36D9A">
              <w:t xml:space="preserve"> </w:t>
            </w:r>
            <w:r w:rsidRPr="00B36D9A">
              <w:rPr>
                <w:lang w:val="en-US"/>
              </w:rPr>
              <w:t>142 311</w:t>
            </w:r>
          </w:p>
          <w:p w:rsidR="00B36D9A" w:rsidRPr="00B36D9A" w:rsidRDefault="00B36D9A" w:rsidP="00B36D9A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083"/>
      </w:tblGrid>
      <w:tr w:rsidR="00B36D9A" w:rsidRPr="00B36D9A" w:rsidTr="0054096D">
        <w:trPr>
          <w:cantSplit/>
        </w:trPr>
        <w:tc>
          <w:tcPr>
            <w:tcW w:w="3912" w:type="pct"/>
          </w:tcPr>
          <w:p w:rsidR="00B36D9A" w:rsidRPr="00B36D9A" w:rsidRDefault="00B36D9A" w:rsidP="00B36D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Таким 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образом</w:t>
            </w:r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кворум:</w:t>
            </w:r>
          </w:p>
        </w:tc>
        <w:tc>
          <w:tcPr>
            <w:tcW w:w="108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Имеется</w:t>
            </w:r>
            <w:proofErr w:type="spellEnd"/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9571"/>
      </w:tblGrid>
      <w:tr w:rsidR="00B36D9A" w:rsidRPr="00B36D9A" w:rsidTr="0054096D">
        <w:trPr>
          <w:cantSplit/>
        </w:trPr>
        <w:tc>
          <w:tcPr>
            <w:tcW w:w="5000" w:type="pct"/>
            <w:shd w:val="clear" w:color="auto" w:fill="C0C0C0"/>
          </w:tcPr>
          <w:p w:rsidR="00B36D9A" w:rsidRPr="00B36D9A" w:rsidRDefault="00B36D9A" w:rsidP="00B36D9A">
            <w:pPr>
              <w:keepNext/>
              <w:spacing w:before="40" w:after="40"/>
              <w:jc w:val="center"/>
            </w:pPr>
            <w:r w:rsidRPr="00B36D9A">
              <w:t>Результаты голосования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603"/>
        <w:gridCol w:w="1334"/>
        <w:gridCol w:w="1447"/>
        <w:gridCol w:w="1428"/>
        <w:gridCol w:w="1451"/>
        <w:gridCol w:w="1516"/>
      </w:tblGrid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142 311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141 549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662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100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36D9A" w:rsidRPr="00B36D9A" w:rsidTr="00540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697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99,46</w:t>
            </w:r>
          </w:p>
        </w:tc>
        <w:tc>
          <w:tcPr>
            <w:tcW w:w="75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0,47</w:t>
            </w:r>
          </w:p>
        </w:tc>
        <w:tc>
          <w:tcPr>
            <w:tcW w:w="746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758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0,07</w:t>
            </w:r>
          </w:p>
        </w:tc>
        <w:tc>
          <w:tcPr>
            <w:tcW w:w="792" w:type="pct"/>
            <w:vAlign w:val="center"/>
          </w:tcPr>
          <w:p w:rsidR="00B36D9A" w:rsidRPr="00B36D9A" w:rsidRDefault="00B36D9A" w:rsidP="00B36D9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36D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lang w:eastAsia="ru-RU"/>
        </w:rPr>
        <w:t>*</w:t>
      </w:r>
      <w:r w:rsidRPr="00B36D9A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Pr="00B36D9A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>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36D9A" w:rsidRPr="00B36D9A" w:rsidRDefault="00B36D9A" w:rsidP="00B36D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36D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**** </w:t>
      </w:r>
      <w:r w:rsidRPr="00B36D9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соответствии с п.4  ст.83 Федерального закона "Об акционерных обществах" от 26.12.1995 N 208-ФЗ о</w:t>
      </w:r>
      <w:r w:rsidRPr="00B36D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бщее собрание акционеров при принятии решения по данному вопросу считается правомочным независимо от числа не заинтересованных в </w:t>
      </w:r>
      <w:r w:rsidRPr="00B36D9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совершении соответствующей сделки акционеров - владельцев голосующих акций общества, принимающих в нем участие.</w:t>
      </w:r>
    </w:p>
    <w:p w:rsidR="00B36D9A" w:rsidRPr="00B36D9A" w:rsidRDefault="00B36D9A" w:rsidP="00B36D9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6D9A" w:rsidRPr="00B36D9A" w:rsidRDefault="00B36D9A" w:rsidP="00B36D9A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Формулировка решения, принятого общим собранием по вопросу повестки дня №7, </w:t>
      </w:r>
      <w:proofErr w:type="spellStart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п.п</w:t>
      </w:r>
      <w:proofErr w:type="spellEnd"/>
      <w:r w:rsidRPr="00B36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№2:</w:t>
      </w:r>
    </w:p>
    <w:p w:rsidR="00B36D9A" w:rsidRPr="00B36D9A" w:rsidRDefault="00B36D9A" w:rsidP="00B3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крупную сделку (по признаку взаимосвязанности сделок, согласно ст.78 ФЗ «Об акционерных обществах») в совершении которой, в соответствии со ст.81 ФЗ «Об акционерных обществах», имеется заинтересованность - Договор поручительства № 13ф-01-2019/БГ/ДП-01, заключенный 14.03.2019 г. между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(Поручитель) с  АО «СМП Банк» (Кредитор) в целях обеспечения исполнения обязательств 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(Заемщик) перед Банком АО «СМП Банк» по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Генеральному договору о выдаче банковских гарантий № 13ф-01-2019/БГ (далее – Генеральный договор о выдаче гарантий), заключенному «14» марта 2019 года между Кредитором и Должником в городе Уфа и подтвердить полномочия  генерального директора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Романова Ю.Н.  подписавшего под отлагательным условием с Банком АО «СМП Банк» договор поручительства и иные, связанные с ним документы..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Существенные условия сделки: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Объем поручительств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Поручитель обязуется отвечать в полном объеме перед Гарантом за исполнение обязательств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ОГРН 1020202767420  (далее – Должник) по Генеральному договору о выдаче банковских гарантий № 13ф-01-2019/БГ  (далее – Генеральный договор о выдаче гарантий), заключенному «14» марта 2019 года между Кредитором и Должником в городе Уфа.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Поручительство обеспечивает исполнение Должником обязательств, существо, размер и срок исполнения которых предусмотрены Генеральным договором о выдаче гарантий, – в том объеме, в каком требования Кредитора к Должнику по Генеральному договору о выдаче гарантий будут существовать к моменту их удовлетворения, включая возмещение судебных издержек по взысканию долга и других убытков Кредитора, вызванных неисполнением или ненадлежащим исполнением Должником обязательств по Генеральному договору 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выдаче гарантий.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устанавливают, что любые изменения условий Генерального договора о выдаче гарантий, совершенные Кредитором и Должником и/или Кредитором в одностороннем порядке, когда такое право Кредитора прямо предусмотрено Генеральным договором о выдаче гарантий, означают изменение объема требований, обеспечиваемых поручительством, на что Поручитель дает свое предварительное согласие в момент заключения настоящего Договора, при условии, что такие изменения в любом случае не будут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превышать утроенную сумму лимита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Генеральному договору о выдаче гарантий в соответствии с условиями Генерального договора о выдаче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гарантий.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Срок поручительства - Поручительство прекращается, если Кредитор в течение года со дня, до которого Должник обязан исполнить все свои обязательства по Генеральному договору о выдаче гарантий в полном объеме, не предъявит к Поручителю Требование Кредитора.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 признания Генерального договора о выдаче гарантий  недействительной / незаключенной сделкой,  поручительство, предусмотренное пунктом 3.10 настоящего Договора, прекращается, если Кредитор в течение года со дня признания Генерального договора о выдаче гарантий недействительным / незаключенным не предъявит к Поручителю требование на основании пункта 3.10 настоящего Договора.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Существенные условия Генерального договора о выдаче банковских гарантий № 13ф-01-2019/БГ от 14 марта 2019 года: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 - Акционерное общество Банк «Северный морской путь» (АО «СМП Банк»)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Принципал - Общество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 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Бенефициар - заказчики, определенные в соответствии с Договором/Контрактом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Сумма всех одновременно действующих Гарантий, выданных в соответствии с Договором,  не должна превышать в совокупности сумму в размере 350 000 000,00 (Триста пятьдесят миллионов 00/100) рублей (далее – «Лимит»).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Обязательство Принципала, обеспечиваемое Гарантией: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исполнение Принципалом его обязательств перед Бенефициаром по договору/ контракту (далее – Договор/ Контракт), включая обязательств по возврату аванс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иных конкретных обязательств Принципала по Договору/ Контракту, за исключением обязательств по гарантийному обслуживанию Договора/ Контракта;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исполнение Принципалом его обязательств перед Бенефициаром по договору/ контракту (далее – Договор/ Контракт), включая обязательств по гарантийному обслуживанию Договора/ Контракта и иных конкретных обязательств Принципала по Договору/ Контракту, за исключением обязательств по возврату аванс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исполнение Принципалом его обязательств перед Бенефициаром по договору/ контракту (далее – Договор/ Контракт), включая конкретных обязательств по Договору/ Контракту,  за исключением обязательств по возврату аванс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по гарантийному обслуживанию Договора/ Контракта.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действия Гарантии указывается Принципалом в Заявлении, но не может быть более 12 (Двенадцати) месяцев.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Вознаграждение за выдачу каждой Гарантии (далее – «вознаграждение») в размере 2,0 % (Два процента) годовых от суммы соответствующей Гарантии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Сумма всех одновременно действующих Гарантий, выданных в соответствии с Договором,  не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превышает в совокупности сумму в размере 350 000 000,00 (Триста пятьдесят миллионов 00/100) рублей.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Совокупная ссудная задолженность Принципала,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«Торговый дом УТ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– «Группа компаний») перед Гарантом по настоящему Договору и Кредитным договорам, а также сумма выданных Гарантом гарантий Группе компаний, не превышает в совокупности сумму в размере 1 550 000 000,00 (Один миллиард пятьсот пятьдесят миллионов 00/100) рублей.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Обеспечение по договору: 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поручительство согласно Договору поручительства от «14» марта 2019 года № 13ф-01-2019/БГ/ДП-1, заключенному между Гарантом и Акционерным обществом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поручительство согласно Договору поручительства от «14» марта 2019 года № 13ф-01-2019/БГ/ДП -2, заключенному между Гарантом и Аминовым Олегом Николаевичем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 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оследующая ипотека (последующий  залог), по Договору последующей ипотеки от «14» марта 2019 года № 13ф-01-2019/БГ/ДИ-01, заключенному между Гарантом и Обществом с ограниченной ответственностью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– Залогодатель), предметом залога по которому является нежилые здания и помещения общей площадью </w:t>
      </w:r>
      <w:smartTag w:uri="urn:schemas-microsoft-com:office:smarttags" w:element="metricconverter">
        <w:smartTagPr>
          <w:attr w:name="ProductID" w:val="11 845,6 м2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11 845,6 м</w:t>
        </w:r>
        <w:proofErr w:type="gramStart"/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smartTag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кадастровыми номерами 02:55:030303:192, 02:55:030303:191, 02:55:030303:200,  и земельные участки общей площадью </w:t>
      </w:r>
      <w:smartTag w:uri="urn:schemas-microsoft-com:office:smarttags" w:element="metricconverter">
        <w:smartTagPr>
          <w:attr w:name="ProductID" w:val="27 255,0 м2"/>
        </w:smartTagPr>
        <w:r w:rsidRPr="00B36D9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27 255,0 м2</w:t>
        </w:r>
      </w:smartTag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кадастровыми номерами 02:55:030303:757,  02:55:030303:755, 02:55:030303:756, 02:55:030303:754, расположенные по адресу: Республика Башкортостан, г. Уфа, Орджоникидзевский район, ул. Свободы, д.61.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действия договора-  с момента его подписания  до полного исполнения сторонами своих обязательств.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Основания заинтересованности в соответствии со ст.81 Федерального закона «Об Акционерных обществах»: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Олег Николаевич – Председатель Совета директоров и контролирующее лицо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Президент и контролирующее лиц</w:t>
      </w:r>
      <w:proofErr w:type="gram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ООО</w:t>
      </w:r>
      <w:proofErr w:type="gram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Антон Олегович – член   Совета    директоров, сын контролирующего лица Общества Аминова О.Н.</w:t>
      </w:r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ООО «Корпорация 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- контролирующее лицо АО «</w:t>
      </w:r>
      <w:proofErr w:type="spellStart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B36D9A">
        <w:rPr>
          <w:rFonts w:ascii="Times New Roman" w:eastAsia="Times New Roman" w:hAnsi="Times New Roman" w:cs="Times New Roman"/>
          <w:sz w:val="20"/>
          <w:szCs w:val="20"/>
          <w:lang w:eastAsia="ru-RU"/>
        </w:rPr>
        <w:t>» выгодоприобретатель по сделке.</w:t>
      </w:r>
    </w:p>
    <w:p w:rsidR="00AF7119" w:rsidRDefault="00AF7119" w:rsidP="00B36D9A">
      <w:pPr>
        <w:spacing w:after="0"/>
        <w:jc w:val="center"/>
        <w:rPr>
          <w:rFonts w:ascii="Times New Roman" w:hAnsi="Times New Roman" w:cs="Times New Roman"/>
          <w:b/>
        </w:rPr>
      </w:pPr>
    </w:p>
    <w:p w:rsidR="004523F3" w:rsidRPr="00DF7E18" w:rsidRDefault="004523F3" w:rsidP="004523F3">
      <w:pPr>
        <w:spacing w:after="0"/>
        <w:jc w:val="right"/>
        <w:rPr>
          <w:rFonts w:ascii="Times New Roman" w:hAnsi="Times New Roman" w:cs="Times New Roman"/>
          <w:b/>
        </w:rPr>
      </w:pPr>
      <w:r w:rsidRPr="004523F3">
        <w:rPr>
          <w:rFonts w:ascii="Times New Roman" w:hAnsi="Times New Roman" w:cs="Times New Roman"/>
          <w:b/>
        </w:rPr>
        <w:t>Совет директоров Общества</w:t>
      </w:r>
    </w:p>
    <w:sectPr w:rsidR="004523F3" w:rsidRPr="00DF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8"/>
    <w:rsid w:val="00014FB1"/>
    <w:rsid w:val="000164A7"/>
    <w:rsid w:val="00044B0C"/>
    <w:rsid w:val="0004731F"/>
    <w:rsid w:val="00050ECF"/>
    <w:rsid w:val="000535CD"/>
    <w:rsid w:val="00053A31"/>
    <w:rsid w:val="00054CD7"/>
    <w:rsid w:val="00080F41"/>
    <w:rsid w:val="000879DF"/>
    <w:rsid w:val="0009019E"/>
    <w:rsid w:val="000B61D6"/>
    <w:rsid w:val="000B68DF"/>
    <w:rsid w:val="000C36FC"/>
    <w:rsid w:val="000C55F5"/>
    <w:rsid w:val="000C7974"/>
    <w:rsid w:val="000D3982"/>
    <w:rsid w:val="000E055A"/>
    <w:rsid w:val="000F3EDD"/>
    <w:rsid w:val="0010466F"/>
    <w:rsid w:val="00110D93"/>
    <w:rsid w:val="00112B5F"/>
    <w:rsid w:val="00123336"/>
    <w:rsid w:val="00127A51"/>
    <w:rsid w:val="0014021F"/>
    <w:rsid w:val="00163D08"/>
    <w:rsid w:val="00182795"/>
    <w:rsid w:val="00185D3A"/>
    <w:rsid w:val="00187B42"/>
    <w:rsid w:val="00196C20"/>
    <w:rsid w:val="001C45B3"/>
    <w:rsid w:val="001C49BD"/>
    <w:rsid w:val="00232E2C"/>
    <w:rsid w:val="00293401"/>
    <w:rsid w:val="002935D3"/>
    <w:rsid w:val="002A3894"/>
    <w:rsid w:val="002B1839"/>
    <w:rsid w:val="002B79D5"/>
    <w:rsid w:val="002B7FE3"/>
    <w:rsid w:val="002C087D"/>
    <w:rsid w:val="002C1808"/>
    <w:rsid w:val="002C5464"/>
    <w:rsid w:val="002F6057"/>
    <w:rsid w:val="00315D8E"/>
    <w:rsid w:val="0032574A"/>
    <w:rsid w:val="003308A5"/>
    <w:rsid w:val="00331147"/>
    <w:rsid w:val="00346FD8"/>
    <w:rsid w:val="00347FB2"/>
    <w:rsid w:val="003522D8"/>
    <w:rsid w:val="00354948"/>
    <w:rsid w:val="00363360"/>
    <w:rsid w:val="0036456D"/>
    <w:rsid w:val="00371CCA"/>
    <w:rsid w:val="00376FB2"/>
    <w:rsid w:val="003A68E4"/>
    <w:rsid w:val="003A7F09"/>
    <w:rsid w:val="003B6B97"/>
    <w:rsid w:val="003D308C"/>
    <w:rsid w:val="003E3E91"/>
    <w:rsid w:val="003F4D3F"/>
    <w:rsid w:val="004041FD"/>
    <w:rsid w:val="00405084"/>
    <w:rsid w:val="004069EE"/>
    <w:rsid w:val="00417954"/>
    <w:rsid w:val="004452C7"/>
    <w:rsid w:val="00446F52"/>
    <w:rsid w:val="004523F3"/>
    <w:rsid w:val="00455132"/>
    <w:rsid w:val="00456156"/>
    <w:rsid w:val="00490483"/>
    <w:rsid w:val="00493765"/>
    <w:rsid w:val="004A4EAC"/>
    <w:rsid w:val="004B00A5"/>
    <w:rsid w:val="004C4C98"/>
    <w:rsid w:val="004D2E79"/>
    <w:rsid w:val="004D454A"/>
    <w:rsid w:val="004E17C7"/>
    <w:rsid w:val="004F1DF4"/>
    <w:rsid w:val="004F540A"/>
    <w:rsid w:val="004F7ECA"/>
    <w:rsid w:val="00501EDE"/>
    <w:rsid w:val="00504C32"/>
    <w:rsid w:val="00515803"/>
    <w:rsid w:val="00540BAD"/>
    <w:rsid w:val="00542195"/>
    <w:rsid w:val="0054240B"/>
    <w:rsid w:val="00544BDA"/>
    <w:rsid w:val="00544D23"/>
    <w:rsid w:val="00550F71"/>
    <w:rsid w:val="00593F90"/>
    <w:rsid w:val="005940CE"/>
    <w:rsid w:val="00595314"/>
    <w:rsid w:val="005A2A78"/>
    <w:rsid w:val="005A3E15"/>
    <w:rsid w:val="005A5243"/>
    <w:rsid w:val="005C1FB9"/>
    <w:rsid w:val="005D3F4E"/>
    <w:rsid w:val="005E2F6B"/>
    <w:rsid w:val="005E75D2"/>
    <w:rsid w:val="005F69D3"/>
    <w:rsid w:val="00612207"/>
    <w:rsid w:val="00616AE0"/>
    <w:rsid w:val="00653B3D"/>
    <w:rsid w:val="006735C1"/>
    <w:rsid w:val="006849CB"/>
    <w:rsid w:val="006B15DB"/>
    <w:rsid w:val="006D4229"/>
    <w:rsid w:val="006E177A"/>
    <w:rsid w:val="006E7179"/>
    <w:rsid w:val="00707BCC"/>
    <w:rsid w:val="00710503"/>
    <w:rsid w:val="00714AD9"/>
    <w:rsid w:val="007220AC"/>
    <w:rsid w:val="00723A60"/>
    <w:rsid w:val="00726E66"/>
    <w:rsid w:val="00730A7D"/>
    <w:rsid w:val="00736D54"/>
    <w:rsid w:val="007509DC"/>
    <w:rsid w:val="007552B8"/>
    <w:rsid w:val="00763C24"/>
    <w:rsid w:val="007640B7"/>
    <w:rsid w:val="007848C0"/>
    <w:rsid w:val="0078590E"/>
    <w:rsid w:val="007B7960"/>
    <w:rsid w:val="007C0D8A"/>
    <w:rsid w:val="007C1340"/>
    <w:rsid w:val="007D2319"/>
    <w:rsid w:val="007D346D"/>
    <w:rsid w:val="00806759"/>
    <w:rsid w:val="00816DFD"/>
    <w:rsid w:val="008266CA"/>
    <w:rsid w:val="008448DD"/>
    <w:rsid w:val="008501C6"/>
    <w:rsid w:val="00854367"/>
    <w:rsid w:val="00856B2E"/>
    <w:rsid w:val="00887B30"/>
    <w:rsid w:val="008A22A6"/>
    <w:rsid w:val="008C40D2"/>
    <w:rsid w:val="008D07E4"/>
    <w:rsid w:val="008D1A10"/>
    <w:rsid w:val="008F2134"/>
    <w:rsid w:val="009338DF"/>
    <w:rsid w:val="00936573"/>
    <w:rsid w:val="009463CE"/>
    <w:rsid w:val="00947A42"/>
    <w:rsid w:val="00950F51"/>
    <w:rsid w:val="00961023"/>
    <w:rsid w:val="00961509"/>
    <w:rsid w:val="00964DD1"/>
    <w:rsid w:val="009765C0"/>
    <w:rsid w:val="009935ED"/>
    <w:rsid w:val="009A1675"/>
    <w:rsid w:val="009B1631"/>
    <w:rsid w:val="009C0CEB"/>
    <w:rsid w:val="009C3D55"/>
    <w:rsid w:val="009C4BD4"/>
    <w:rsid w:val="009D06B4"/>
    <w:rsid w:val="009D158A"/>
    <w:rsid w:val="009E396E"/>
    <w:rsid w:val="009E476A"/>
    <w:rsid w:val="009F4AE4"/>
    <w:rsid w:val="00A13043"/>
    <w:rsid w:val="00A53327"/>
    <w:rsid w:val="00A755C9"/>
    <w:rsid w:val="00A81B58"/>
    <w:rsid w:val="00A91758"/>
    <w:rsid w:val="00A93356"/>
    <w:rsid w:val="00A95FD0"/>
    <w:rsid w:val="00AC48E9"/>
    <w:rsid w:val="00AD12A8"/>
    <w:rsid w:val="00AE1BA8"/>
    <w:rsid w:val="00AF3DFB"/>
    <w:rsid w:val="00AF7119"/>
    <w:rsid w:val="00B053E0"/>
    <w:rsid w:val="00B061A2"/>
    <w:rsid w:val="00B25622"/>
    <w:rsid w:val="00B34CED"/>
    <w:rsid w:val="00B36D9A"/>
    <w:rsid w:val="00B623CC"/>
    <w:rsid w:val="00B636EC"/>
    <w:rsid w:val="00BB4561"/>
    <w:rsid w:val="00BC0FE1"/>
    <w:rsid w:val="00BF189A"/>
    <w:rsid w:val="00C127E5"/>
    <w:rsid w:val="00C4761D"/>
    <w:rsid w:val="00C67554"/>
    <w:rsid w:val="00CB76D4"/>
    <w:rsid w:val="00CD0189"/>
    <w:rsid w:val="00CD3FEE"/>
    <w:rsid w:val="00CE4477"/>
    <w:rsid w:val="00CE66AA"/>
    <w:rsid w:val="00CF543E"/>
    <w:rsid w:val="00D03A6D"/>
    <w:rsid w:val="00D127FD"/>
    <w:rsid w:val="00D15D88"/>
    <w:rsid w:val="00D329F5"/>
    <w:rsid w:val="00D41B7A"/>
    <w:rsid w:val="00D9137E"/>
    <w:rsid w:val="00DC3D08"/>
    <w:rsid w:val="00DD18B0"/>
    <w:rsid w:val="00DE171F"/>
    <w:rsid w:val="00DF6FD6"/>
    <w:rsid w:val="00DF7E18"/>
    <w:rsid w:val="00E047FD"/>
    <w:rsid w:val="00E343DB"/>
    <w:rsid w:val="00E40467"/>
    <w:rsid w:val="00E45567"/>
    <w:rsid w:val="00E530F0"/>
    <w:rsid w:val="00E5772C"/>
    <w:rsid w:val="00E60654"/>
    <w:rsid w:val="00E9329E"/>
    <w:rsid w:val="00EA2576"/>
    <w:rsid w:val="00EB2D4D"/>
    <w:rsid w:val="00EC27DC"/>
    <w:rsid w:val="00EC59A7"/>
    <w:rsid w:val="00EC6D7C"/>
    <w:rsid w:val="00ED071C"/>
    <w:rsid w:val="00F0450C"/>
    <w:rsid w:val="00F20F13"/>
    <w:rsid w:val="00F3570E"/>
    <w:rsid w:val="00F46DE4"/>
    <w:rsid w:val="00F47A33"/>
    <w:rsid w:val="00F667B1"/>
    <w:rsid w:val="00F678A7"/>
    <w:rsid w:val="00F83245"/>
    <w:rsid w:val="00FA050E"/>
    <w:rsid w:val="00FA7263"/>
    <w:rsid w:val="00FB4927"/>
    <w:rsid w:val="00FB5F88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E18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B3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E18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B3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Kanz</cp:lastModifiedBy>
  <cp:revision>5</cp:revision>
  <dcterms:created xsi:type="dcterms:W3CDTF">2019-05-14T12:37:00Z</dcterms:created>
  <dcterms:modified xsi:type="dcterms:W3CDTF">2019-05-15T11:47:00Z</dcterms:modified>
</cp:coreProperties>
</file>